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QuickBooks Online year-end checklist</w:t>
      </w:r>
    </w:p>
    <w:p>
      <w:r>
        <w:rPr>
          <w:color w:val="5B6472"/>
        </w:rPr>
        <w:t xml:space="preserve">Send the first group to the client in December. Work the rest in QuickBooks in order, and set the closing date only after the last group is done.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Documents to collect first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bank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account in the chart of accounts, PDF from the bank.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credit card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card connected or entered in QuickBooks.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loan statements, and Form 1098 if the lender issues 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paid and principal owed. Form 1098 goes only to individual and sole-proprietor borrowers.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W-9 for each 1099 vendor missing 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 name and taxpayer ID against the vendor record.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invoices for asset additions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placed in service and price.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Annual payroll register from the provider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payroll runs outside QuickBooks.</w:t>
            </w:r>
          </w:p>
        </w:tc>
      </w:tr>
    </w:tbl>
    <w:p>
      <w:pPr>
        <w:pStyle w:val="Heading1"/>
      </w:pPr>
      <w:r>
        <w:t xml:space="preserve">Reconcile and review in QuickBooks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all bank and card accounts through December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Tie every Balance Sheet account to a document or schedule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Review the A/R Aging Summary and record agreed write-offs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Review the A/P Aging Summary and clear stale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Clear Undeposited Funds or Payments to deposit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depreciation and asset additions or disposals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Journal entry from the asset register or the CPA schedule.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Compare the year’s Profit and Loss with the prior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Payroll and 1099s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Tie payroll expense and taxes to the annual register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And to the four quarterly Forms 941.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Map expense accounts to 1099-NEC and 1099-MISC boxes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Apply the 2026 thresholds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$2,000 nonemployee pay and most MISC boxes, $10 royalties, $600 attorney gross proceeds.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Calendar the filing dates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W-2, W-3 and 1099-NEC: February 1, 2027. 1099-MISC: recipient copy February 1, 2027; IRS March 1, 2027 on paper, March 31, 2027 electronically.</w:t>
            </w:r>
          </w:p>
        </w:tc>
      </w:tr>
    </w:tbl>
    <w:p>
      <w:pPr>
        <w:pStyle w:val="Heading1"/>
      </w:pPr>
      <w:r>
        <w:t xml:space="preserve">Close the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Send the CPA the trial balance and supporting reports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the CPA’s adjusting entries dated on the last day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Turn on Close the books and set the closing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Settings, Account and settings, Advanced, Accounting.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Choose the password option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opening retained earnings in the new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 should have moved by last year’s net income.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QuickBooks Online year-end checklist  |  dokutrak.com/checklists/year-end-close/quickbooks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QuickBooks Online year-end checklist</dc:title>
  <dc:creator>DokuTrak</dc:creator>
  <dc:description>Close a client’s year in QuickBooks Online: reports to run, documents to compare, the 1099 floor for 2026, and where to set the closing date. PDF, Word, Excel.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