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HR year-end checklist</w:t>
      </w:r>
    </w:p>
    <w:p>
      <w:r>
        <w:rPr>
          <w:color w:val="5B6472"/>
        </w:rPr>
        <w:t xml:space="preserve">Give each line an owner (HR, payroll or benefits) and a date. The first group runs in early December, before payroll prints Form W-2.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Employee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legal name, address and Social Security number for each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Against the Social Security card where a name changed.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 new Form W-4 from employees changing withholding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Effective with the first pay date of the new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Close the files of employees who left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Final pay, benefits end date, notices sent, last address.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Keep each employee’s final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totals for the Form W-2 check.</w:t>
            </w:r>
          </w:p>
        </w:tc>
      </w:tr>
    </w:tbl>
    <w:p>
      <w:pPr>
        <w:pStyle w:val="Heading1"/>
      </w:pPr>
      <w:r>
        <w:t xml:space="preserve">Form I-9 audit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every current employee has a complete Form I-9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Fix gaps with a dated, initialed note; never backdate.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the edition of each Form I-9 completed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Edition 01/20/25, or an 08/01/23 edition used before its printed expiration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Keep document copies with the form only if you copy for every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Copying for some employees only can breach anti-discrimination rules.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Section 2 records the documents the employee chose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List A document, or one List B plus one List C document.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Work out the retention date for each former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Later of three years after hire or one year after leaving.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Destroy forms past their retention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Reporting and retention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Match the year’s hires and rehires to state new-hire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exempt and non-exempt classifications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contractors who now work like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Box payroll records and time records with destroy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records three years, time cards two years, tax records four.</w:t>
            </w:r>
          </w:p>
        </w:tc>
      </w:tr>
    </w:tbl>
    <w:p>
      <w:pPr>
        <w:pStyle w:val="Heading1"/>
      </w:pPr>
      <w:r>
        <w:t xml:space="preserve">Payroll and benefits handoff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payroll the taxable fringe benefit values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Before the last pay run of the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Load open-enrollment elections for the first pay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Update the wage base and state unemployment rates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Social Security Administration and the state notice.</w:t>
            </w:r>
          </w:p>
        </w:tc>
      </w:tr>
    </w:tbl>
    <w:p>
      <w:pPr>
        <w:pStyle w:val="Heading1"/>
      </w:pPr>
      <w:r>
        <w:t xml:space="preserve">Early next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Furnish Form W-2 to employees and file with the SSA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2026 wages, by February 1, 2027.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Form 300A summary if your workplace keeps injury logs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February 1 through April 30.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Update required workplace posters and minimum wage notices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HR year-end checklist  |  dokutrak.com/checklists/year-end-close/hr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year-end checklist</dc:title>
  <dc:creator>DokuTrak</dc:creator>
  <dc:description>An HR year end checklist: employee data before W-2 forms print, the Form I-9 audit and purge, new-hire reporting, record retention and early 2027 filings.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