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Year-end audit preparation checklist</w:t>
      </w:r>
    </w:p>
    <w:p>
      <w:r>
        <w:rPr>
          <w:color w:val="5B6472"/>
        </w:rPr>
        <w:t xml:space="preserve">Fill in the owner and status of each line. Send the client the items marked as client documents as soon as the year-end close starts.</w:t>
      </w:r>
    </w:p>
    <w:p>
      <w:r>
        <w:t xml:space="preserve"/>
      </w:r>
    </w:p>
    <w:p>
      <w:r>
        <w:rPr>
          <w:b/>
          <w:bCs/>
        </w:rPr>
        <w:t xml:space="preserve">Client or engagement: ____________________</w:t>
      </w:r>
    </w:p>
    <w:p>
      <w:pPr>
        <w:pStyle w:val="Heading1"/>
      </w:pPr>
      <w:r>
        <w:t xml:space="preserve">General ledger and prior year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Trial balance and general ledger after all year-end entries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Exported to Excel.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Prior-year audited statements and audit adjustments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Adjustments posted, opening balances agreed.</w:t>
            </w:r>
          </w:p>
        </w:tc>
      </w:tr>
    </w:tbl>
    <w:p>
      <w:pPr>
        <w:pStyle w:val="Heading1"/>
      </w:pPr>
      <w:r>
        <w:t xml:space="preserve">Cash, investments and receivables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Year-end bank statements and reconciliations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Every account; list of authorized signers.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Bank statements for the month after year end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To test outstanding checks and deposits.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Year-end brokerage statements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Receivables aging tied to the ledger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Plus receipts after year end and the allowance.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Inventory count sheets and valuation report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Only if the client holds stock.</w:t>
            </w:r>
          </w:p>
        </w:tc>
      </w:tr>
    </w:tbl>
    <w:p>
      <w:pPr>
        <w:pStyle w:val="Heading1"/>
      </w:pPr>
      <w:r>
        <w:t xml:space="preserve">Assets, liabilities and debt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Prepaid expense schedule with invoices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Fixed asset roll-forward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Invoices for additions, bills of sale for disposals.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Payables aging and payments after year end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 the search for unrecorded liabilities.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Accrual worksheet with support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Loan agreements and year-end lender statements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With interest and covenant calculations.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Lease agreements and lease schedule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pStyle w:val="Heading1"/>
      </w:pPr>
      <w:r>
        <w:t xml:space="preserve">Payroll, contractors and revenue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Annual payroll register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Forms 941, 940, W-2 and W-3 for the year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Reconciliation of payroll expense to the filed returns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Forms 1099 filed, with the W-9 behind each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Major customer contracts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With a note on multi-period revenue.</w:t>
            </w:r>
          </w:p>
        </w:tc>
      </w:tr>
    </w:tbl>
    <w:p>
      <w:pPr>
        <w:pStyle w:val="Heading1"/>
      </w:pPr>
      <w:r>
        <w:t xml:space="preserve">Governance, legal and grants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806"/>
        <w:gridCol w:w="5242"/>
        <w:gridCol w:w="4032"/>
      </w:tblGrid>
      <w:tr>
        <w:trPr>
          <w:tblHeader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Done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6F2EE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</w:rPr>
              <w:t xml:space="preserve">Which copy, which period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Articles, bylaws or operating agreement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Board minutes for the year and up to fieldwork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Capital contributions and distributions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Pending litigation list and attorney contact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For the legal letter.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Related party list and transactions with them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Owners, family members and companies they control.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Signed authorizations for bank, lender and customer confirmations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The auditor sends the confirmations; the client signs the requests.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Events after year end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New debt, lawsuits, large losses or sales up to fieldwork.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Schedule of federal award spending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Grantees only; single audit test.</w:t>
            </w:r>
          </w:p>
        </w:tc>
      </w:tr>
      <w:tr>
        <w:trPr>
          <w:cantSplit/>
        </w:trPr>
        <w:tc>
          <w:tcPr>
            <w:tcW w:type="pct" w:w="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☐</w:t>
            </w:r>
          </w:p>
        </w:tc>
        <w:tc>
          <w:tcPr>
            <w:tcW w:type="pct" w:w="2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t xml:space="preserve">Management representation letter</w:t>
            </w:r>
          </w:p>
        </w:tc>
        <w:tc>
          <w:tcPr>
            <w:tcW w:type="pct" w:w="20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sz w:val="18"/>
                <w:szCs w:val="18"/>
              </w:rPr>
              <w:t xml:space="preserve">Drafted by the auditor, signed at the end of fieldwork.</w:t>
            </w:r>
          </w:p>
        </w:tc>
      </w:tr>
    </w:tbl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2"/>
        <w:sz w:val="16"/>
        <w:szCs w:val="16"/>
      </w:rPr>
      <w:t xml:space="preserve">Year-end audit preparation checklist  |  dokutrak.com/checklists/year-end-close/audit-preparation   |   Page </w:t>
    </w:r>
    <w:r>
      <w:rPr>
        <w:color w:val="5B6472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8A93A0"/>
        <w:sz w:val="18"/>
        <w:szCs w:val="18"/>
      </w:rPr>
      <w:t xml:space="preserve">[Your firm name and logo]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Calibri" w:cs="Calibri" w:eastAsia="Calibri" w:hAnsi="Calibri"/>
      <w:b/>
      <w:bCs/>
      <w:color w:val="0F172A"/>
      <w:sz w:val="26"/>
      <w:szCs w:val="26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Year-end audit preparation checklist</dc:title>
  <dc:creator>DokuTrak</dc:creator>
  <dc:description>An audit preparation checklist for a year-end financial statement audit: the schedule for each area, the client document behind it, and a status column.</dc:description>
  <cp:lastModifiedBy>DokuTrak</cp:lastModifiedBy>
  <cp:revision>1</cp:revision>
  <dcterms:created xsi:type="dcterms:W3CDTF">2026-10-25T12:00:00Z</dcterms:created>
  <dcterms:modified xsi:type="dcterms:W3CDTF">2026-10-25T12:00:00Z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