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Year-end close checklist</w:t>
      </w:r>
    </w:p>
    <w:p>
      <w:r>
        <w:rPr>
          <w:color w:val="5B6472"/>
        </w:rPr>
        <w:t xml:space="preserve">Send the first group to the client in early December. Work the other groups in order, write the owner and the date beside each line, and tick it when the evidence is filed.</w:t>
      </w:r>
    </w:p>
    <w:p>
      <w:r>
        <w:t xml:space="preserve"/>
      </w:r>
    </w:p>
    <w:p>
      <w:r>
        <w:rPr>
          <w:b/>
          <w:bCs/>
        </w:rPr>
        <w:t xml:space="preserve">Client or engagement: ____________________</w:t>
      </w:r>
    </w:p>
    <w:p>
      <w:pPr>
        <w:pStyle w:val="Heading1"/>
      </w:pPr>
      <w:r>
        <w:t xml:space="preserve">December request to the client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December statement for every bank and savings account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Including accounts opened or closed during the year; PDF from the bank.</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December statement for every business credit card</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Employee cards included.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Year-end loan and line of credit statements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Showing the ending principal and the interest paid for the year.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 1098, or the lender’s year-end interest statement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Lenders issue Form 1098 only to individuals, including sole proprietors; corporations and partnerships get the interest statement.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Mortgage statement for December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Principal, interest and escrow split for the last payment.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 W-9 for each vendor paid for services or rent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Only vendors with no signed W-9 on file.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Invoices for assets bought during the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Equipment, vehicles, computers, software: date and price.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Payroll provider annual reports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Annual payroll register, last pay stubs, draft W-2s and Form 940.</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Signed inventory count at year end</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Only if the client holds stock.</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Owner contributions and draws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Transfers in and out, personal cards used for the business.</w:t>
            </w:r>
          </w:p>
        </w:tc>
      </w:tr>
    </w:tbl>
    <w:p>
      <w:pPr>
        <w:pStyle w:val="Heading1"/>
      </w:pPr>
      <w:r>
        <w:t xml:space="preserve">Final close of the year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Complete the December month-end close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Every bank, card and loan account reconciled.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Tie loan balances to the lender year-end statements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Tie payroll liabilities to the fourth-quarter Form 941</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Review receivables with the client and record write-offs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Only balances the client agrees will not be collected.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Clear stale payables and vendor credits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Apply the capitalization policy to the year’s purchases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De minimis safe harbor items expensed if the client elects it; the rest capitalized.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Post asset additions, disposals and depreciation</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From the purchase invoices and the asset register.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Post accruals, the prepaid true-up and the inventory adjustment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Accrual-basis clients only.</w:t>
            </w:r>
          </w:p>
        </w:tc>
      </w:tr>
    </w:tbl>
    <w:p>
      <w:pPr>
        <w:pStyle w:val="Heading1"/>
      </w:pPr>
      <w:r>
        <w:t xml:space="preserve">January wage and contractor filings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Confirm W-2s furnished and filed with Form W-3</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Due February 1, 2027 for the 2026 year.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Confirm the fourth-quarter Form 941 and Form 940 are filed</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February 1, 2027, or February 10, 2027 if all deposits were on time.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Confirm the state annual wage reconciliations are filed</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State W-2 transmittals; dates vary by state.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Run the vendor payments report for the calendar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Payments by payee, to build the 1099 list.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Drop corporations and card payments from the 1099 list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Keep attorneys and medical providers even if incorporated; card payments go on Form 1099-K.</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Check payee names and taxpayer IDs before filing</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Against each Form W-9; IRS TIN Matching if the client is enrolled.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Furnish and file Form 1099-NEC</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Nonemployee pay of $2,000 or more: February 1, 2027 to recipients and the IRS.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Furnish and file Form 1099-MISC</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Recipient copy February 1, 2027; IRS March 1, 2027 on paper, March 31, 2027 electronically. E-file at 10 returns or more in total; Form 1096 with paper copies.</w:t>
            </w:r>
          </w:p>
        </w:tc>
      </w:tr>
    </w:tbl>
    <w:p>
      <w:pPr>
        <w:pStyle w:val="Heading1"/>
      </w:pPr>
      <w:r>
        <w:t xml:space="preserve">Review, lock and archive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Review the trial balance, profit and loss and balance sheet against the prior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Send the CPA the year-end package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Trial balance, reconciliations, asset register, loan schedules, payroll and 1099 filings.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Post the CPA’s adjusting entries dated on the last day of the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Check opening retained earnings for the new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Prior balance plus net income, less distributions.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Set the closing date or lock date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Preparer and reviewer sign-off with dates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Archive the year’s statements, filings and workpapers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Employment tax records for at least 4 years.</w:t>
            </w:r>
          </w:p>
        </w:tc>
      </w:tr>
    </w:tbl>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Year-end close checklist  |  dokutrak.com/checklists/year-end-close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Year-end close checklist</dc:title>
  <dc:creator>DokuTrak</dc:creator>
  <dc:description>A year-end accounting checklist in four phases: the December client request, the final close, the January filings, then lock and archive. PDF, Word, Excel.</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