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Payroll migration checklist</w:t>
      </w:r>
    </w:p>
    <w:p>
      <w:r>
        <w:rPr>
          <w:color w:val="5B6472"/>
        </w:rPr>
        <w:t xml:space="preserve">Send the export list to the client and the old provider as soon as the switch date is set. Tick the cutover and go-live lines in order.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Plan the switch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Switch date set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Start of a year or a quarter where possible.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Written split of who files the switch quarter and the W-2s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Old provider’s notice period and access end date noted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Export before access ends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registers for every pay date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Quarterly Forms 941 and state returns filed this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Year-to-date totals per employee and per tax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Forms W-2, W-3 and Form 940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Deposit history and any open IRS or state notices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Employee master data and leave balances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Recent pay statements as a check on the exports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Collect from the client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withholding and unemployment account numbers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Latest state unemployment rate notice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Form 8655 for the new provider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Direct deposit forms for any employee with missing bank data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card for any SSN that fails validation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Cutover and go-live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Employees, rates and deductions loaded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Year-to-date wages loaded per employee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Parallel run matched employee by employee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First live deposit confirmed in EFTPS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Net pay confirmed on the payroll bank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liabilities in the books tied to the new provider’s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Old provider’s filing authority ended after its last period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All exports archived with the employment tax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Payroll migration checklist  |  dokutrak.com/checklists/payroll/migration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migration checklist</dc:title>
  <dc:creator>DokuTrak</dc:creator>
  <dc:description>A payroll migration checklist for a provider switch: what to export before access ends, Form 8655, year-to-date wages, the parallel run and the first live run.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