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Prepaid expenses schedule checklist</w:t>
      </w:r>
    </w:p>
    <w:p>
      <w:r>
        <w:rPr>
          <w:color w:val="5B6472"/>
        </w:rPr>
        <w:t xml:space="preserve">Use it at each close to keep the prepaid schedule complete and tied to the ledger. Lines with a document name what to request from the client.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Documents that open a row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Insurance policy declarations page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the premium and the coverage start and end dates.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Annual software or subscription invoice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Must print the service period, not only the charge date.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Lease, for rent paid ahead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Months covered by the advance payment.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Retainer or deposit agreement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What the payment buys and when it is used.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Proof of payment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Bank or card statement line, or the paid receipt.</w:t>
            </w:r>
          </w:p>
        </w:tc>
      </w:tr>
    </w:tbl>
    <w:p>
      <w:pPr>
        <w:pStyle w:val="Heading1"/>
      </w:pPr>
      <w:r>
        <w:t xml:space="preserve">Fill the row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Vendor, description and document number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Payment date and amount paid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Service start and end dates from the document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Months covered and monthly amount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Example: $12,000 policy, March 1 to February 28 = 12 months x $1,000.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Monthly columns and remaining balance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Example above: $10,000 left after April.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Mid-month policy written in the header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Prorate by days, or start in the first full month.</w:t>
            </w:r>
          </w:p>
        </w:tc>
      </w:tr>
    </w:tbl>
    <w:p>
      <w:pPr>
        <w:pStyle w:val="Heading1"/>
      </w:pPr>
      <w:r>
        <w:t xml:space="preserve">Post and tie out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Book each new prepaid to the prepaid account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Dr Prepaid expenses / Cr Cash or Accounts payable.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Post the month’s amortization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Dr Insurance, Software or Rent expense / Cr Prepaid expenses.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Compare the schedule total with the ledger balance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Difference must be zero at sign-off.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Scan the month’s bills for new prepaids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Any bill covering future months gets a row.</w:t>
            </w:r>
          </w:p>
        </w:tc>
      </w:tr>
    </w:tbl>
    <w:p>
      <w:pPr>
        <w:pStyle w:val="Heading1"/>
      </w:pPr>
      <w:r>
        <w:t xml:space="preserve">Exceptions and year-end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Close rows for cancelled policies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Refund credits prepaid; the unrefunded rest goes to expense that month.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Expense items under the firm’s materiality floor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Write the floor on the schedule.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Flag large prepaids paid near year-end for the tax preparer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They may qualify for the 12-month rule.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Prepaid expenses schedule checklist  |  dokutrak.com/checklists/month-end-close/prepaid-expenses-schedule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Prepaid expenses schedule checklist</dc:title>
  <dc:creator>DokuTrak</dc:creator>
  <dc:description>A prepaid expenses schedule template: one row per prepaid, the document that opens it, monthly amortization, mid-month starts and the tie-out to the ledger.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