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Month-end close checklist</w:t>
      </w:r>
    </w:p>
    <w:p>
      <w:r>
        <w:rPr>
          <w:color w:val="5B6472"/>
        </w:rPr>
        <w:t xml:space="preserve">Send the first group to the client on the first day of the close. Work the other groups in order and tick each line when its document or check is done.</w:t>
      </w:r>
    </w:p>
    <w:p>
      <w:r>
        <w:t xml:space="preserve"/>
      </w:r>
    </w:p>
    <w:p>
      <w:r>
        <w:rPr>
          <w:b/>
          <w:bCs/>
        </w:rPr>
        <w:t xml:space="preserve">Client or engagement: ____________________</w:t>
      </w:r>
    </w:p>
    <w:p>
      <w:pPr>
        <w:pStyle w:val="Heading1"/>
      </w:pPr>
      <w:r>
        <w:t xml:space="preserve">Request from the client on day one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806"/>
        <w:gridCol w:w="5242"/>
        <w:gridCol w:w="4032"/>
      </w:tblGrid>
      <w:tr>
        <w:trPr>
          <w:tblHeader/>
        </w:trPr>
        <w:tc>
          <w:tcPr>
            <w:tcW w:type="pct" w:w="400"/>
            <w:tcBorders>
              <w:top w:val="single" w:color="B8C0CC" w:sz="4"/>
              <w:left w:val="single" w:color="B8C0CC" w:sz="4"/>
              <w:bottom w:val="single" w:color="B8C0CC" w:sz="4"/>
              <w:right w:val="single" w:color="B8C0CC" w:sz="4"/>
            </w:tcBorders>
            <w:shd w:fill="E6F2EE" w:color="auto" w:val="clear"/>
            <w:tcMar>
              <w:top w:type="dxa" w:w="60"/>
              <w:left w:type="dxa" w:w="90"/>
              <w:bottom w:type="dxa" w:w="60"/>
              <w:right w:type="dxa" w:w="90"/>
            </w:tcMar>
          </w:tcPr>
          <w:p>
            <w:r>
              <w:rPr>
                <w:b/>
                <w:bCs/>
              </w:rPr>
              <w:t xml:space="preserve">Done</w:t>
            </w:r>
          </w:p>
        </w:tc>
        <w:tc>
          <w:tcPr>
            <w:tcW w:type="pct" w:w="2600"/>
            <w:tcBorders>
              <w:top w:val="single" w:color="B8C0CC" w:sz="4"/>
              <w:left w:val="single" w:color="B8C0CC" w:sz="4"/>
              <w:bottom w:val="single" w:color="B8C0CC" w:sz="4"/>
              <w:right w:val="single" w:color="B8C0CC" w:sz="4"/>
            </w:tcBorders>
            <w:shd w:fill="E6F2EE" w:color="auto" w:val="clear"/>
            <w:tcMar>
              <w:top w:type="dxa" w:w="60"/>
              <w:left w:type="dxa" w:w="90"/>
              <w:bottom w:type="dxa" w:w="60"/>
              <w:right w:type="dxa" w:w="90"/>
            </w:tcMar>
          </w:tcPr>
          <w:p>
            <w:r>
              <w:rPr>
                <w:b/>
                <w:bCs/>
              </w:rPr>
              <w:t xml:space="preserve">Item</w:t>
            </w:r>
          </w:p>
        </w:tc>
        <w:tc>
          <w:tcPr>
            <w:tcW w:type="pct" w:w="2000"/>
            <w:tcBorders>
              <w:top w:val="single" w:color="B8C0CC" w:sz="4"/>
              <w:left w:val="single" w:color="B8C0CC" w:sz="4"/>
              <w:bottom w:val="single" w:color="B8C0CC" w:sz="4"/>
              <w:right w:val="single" w:color="B8C0CC" w:sz="4"/>
            </w:tcBorders>
            <w:shd w:fill="E6F2EE" w:color="auto" w:val="clear"/>
            <w:tcMar>
              <w:top w:type="dxa" w:w="60"/>
              <w:left w:type="dxa" w:w="90"/>
              <w:bottom w:type="dxa" w:w="60"/>
              <w:right w:type="dxa" w:w="90"/>
            </w:tcMar>
          </w:tcPr>
          <w:p>
            <w:r>
              <w:rPr>
                <w:b/>
                <w:bCs/>
              </w:rPr>
              <w:t xml:space="preserve">Which copy, which period</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Bank statements for every business account</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Checking, savings and money market, full month, PDF from the bank.</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Credit card statements for every business card</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Statement covering the month, including employee cards.</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Loan and line of credit statements</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Showing the ending balance and the principal and interest split.</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Mortgage statement for any business property</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Monthly statement with principal, interest and escrow.</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Card processor and online store payout reports</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Gross sales, fees, refunds and payouts for the month.</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Investment or brokerage account statements</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Only if the business holds cash or securities there.</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Payroll register and pay stubs</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Every pay date in the month, from the payroll provider.</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New contracts, leases or loan agreements</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Anything signed this month that changes what the business owes.</w:t>
            </w:r>
          </w:p>
        </w:tc>
      </w:tr>
    </w:tbl>
    <w:p>
      <w:pPr>
        <w:pStyle w:val="Heading1"/>
      </w:pPr>
      <w:r>
        <w:t xml:space="preserve">Reconcile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806"/>
        <w:gridCol w:w="5242"/>
        <w:gridCol w:w="4032"/>
      </w:tblGrid>
      <w:tr>
        <w:trPr>
          <w:tblHeader/>
        </w:trPr>
        <w:tc>
          <w:tcPr>
            <w:tcW w:type="pct" w:w="400"/>
            <w:tcBorders>
              <w:top w:val="single" w:color="B8C0CC" w:sz="4"/>
              <w:left w:val="single" w:color="B8C0CC" w:sz="4"/>
              <w:bottom w:val="single" w:color="B8C0CC" w:sz="4"/>
              <w:right w:val="single" w:color="B8C0CC" w:sz="4"/>
            </w:tcBorders>
            <w:shd w:fill="E6F2EE" w:color="auto" w:val="clear"/>
            <w:tcMar>
              <w:top w:type="dxa" w:w="60"/>
              <w:left w:type="dxa" w:w="90"/>
              <w:bottom w:type="dxa" w:w="60"/>
              <w:right w:type="dxa" w:w="90"/>
            </w:tcMar>
          </w:tcPr>
          <w:p>
            <w:r>
              <w:rPr>
                <w:b/>
                <w:bCs/>
              </w:rPr>
              <w:t xml:space="preserve">Done</w:t>
            </w:r>
          </w:p>
        </w:tc>
        <w:tc>
          <w:tcPr>
            <w:tcW w:type="pct" w:w="2600"/>
            <w:tcBorders>
              <w:top w:val="single" w:color="B8C0CC" w:sz="4"/>
              <w:left w:val="single" w:color="B8C0CC" w:sz="4"/>
              <w:bottom w:val="single" w:color="B8C0CC" w:sz="4"/>
              <w:right w:val="single" w:color="B8C0CC" w:sz="4"/>
            </w:tcBorders>
            <w:shd w:fill="E6F2EE" w:color="auto" w:val="clear"/>
            <w:tcMar>
              <w:top w:type="dxa" w:w="60"/>
              <w:left w:type="dxa" w:w="90"/>
              <w:bottom w:type="dxa" w:w="60"/>
              <w:right w:type="dxa" w:w="90"/>
            </w:tcMar>
          </w:tcPr>
          <w:p>
            <w:r>
              <w:rPr>
                <w:b/>
                <w:bCs/>
              </w:rPr>
              <w:t xml:space="preserve">Item</w:t>
            </w:r>
          </w:p>
        </w:tc>
        <w:tc>
          <w:tcPr>
            <w:tcW w:type="pct" w:w="2000"/>
            <w:tcBorders>
              <w:top w:val="single" w:color="B8C0CC" w:sz="4"/>
              <w:left w:val="single" w:color="B8C0CC" w:sz="4"/>
              <w:bottom w:val="single" w:color="B8C0CC" w:sz="4"/>
              <w:right w:val="single" w:color="B8C0CC" w:sz="4"/>
            </w:tcBorders>
            <w:shd w:fill="E6F2EE" w:color="auto" w:val="clear"/>
            <w:tcMar>
              <w:top w:type="dxa" w:w="60"/>
              <w:left w:type="dxa" w:w="90"/>
              <w:bottom w:type="dxa" w:w="60"/>
              <w:right w:type="dxa" w:w="90"/>
            </w:tcMar>
          </w:tcPr>
          <w:p>
            <w:r>
              <w:rPr>
                <w:b/>
                <w:bCs/>
              </w:rPr>
              <w:t xml:space="preserve">Which copy, which period</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Reconcile each bank account to its statement</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List outstanding checks and deposits in transit.</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Reconcile each credit card to its statement closing balance</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Match loan balances to the lender statement</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Book the interest part of each payment as expense.</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Clear the processor clearing account</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Gross sales less fees and refunds should equal payouts.</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Match transfers between the client’s own accounts</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
            </w:r>
          </w:p>
        </w:tc>
      </w:tr>
    </w:tbl>
    <w:p>
      <w:pPr>
        <w:pStyle w:val="Heading1"/>
      </w:pPr>
      <w:r>
        <w:t xml:space="preserve">Code what is still uncategorized</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806"/>
        <w:gridCol w:w="5242"/>
        <w:gridCol w:w="4032"/>
      </w:tblGrid>
      <w:tr>
        <w:trPr>
          <w:tblHeader/>
        </w:trPr>
        <w:tc>
          <w:tcPr>
            <w:tcW w:type="pct" w:w="400"/>
            <w:tcBorders>
              <w:top w:val="single" w:color="B8C0CC" w:sz="4"/>
              <w:left w:val="single" w:color="B8C0CC" w:sz="4"/>
              <w:bottom w:val="single" w:color="B8C0CC" w:sz="4"/>
              <w:right w:val="single" w:color="B8C0CC" w:sz="4"/>
            </w:tcBorders>
            <w:shd w:fill="E6F2EE" w:color="auto" w:val="clear"/>
            <w:tcMar>
              <w:top w:type="dxa" w:w="60"/>
              <w:left w:type="dxa" w:w="90"/>
              <w:bottom w:type="dxa" w:w="60"/>
              <w:right w:type="dxa" w:w="90"/>
            </w:tcMar>
          </w:tcPr>
          <w:p>
            <w:r>
              <w:rPr>
                <w:b/>
                <w:bCs/>
              </w:rPr>
              <w:t xml:space="preserve">Done</w:t>
            </w:r>
          </w:p>
        </w:tc>
        <w:tc>
          <w:tcPr>
            <w:tcW w:type="pct" w:w="2600"/>
            <w:tcBorders>
              <w:top w:val="single" w:color="B8C0CC" w:sz="4"/>
              <w:left w:val="single" w:color="B8C0CC" w:sz="4"/>
              <w:bottom w:val="single" w:color="B8C0CC" w:sz="4"/>
              <w:right w:val="single" w:color="B8C0CC" w:sz="4"/>
            </w:tcBorders>
            <w:shd w:fill="E6F2EE" w:color="auto" w:val="clear"/>
            <w:tcMar>
              <w:top w:type="dxa" w:w="60"/>
              <w:left w:type="dxa" w:w="90"/>
              <w:bottom w:type="dxa" w:w="60"/>
              <w:right w:type="dxa" w:w="90"/>
            </w:tcMar>
          </w:tcPr>
          <w:p>
            <w:r>
              <w:rPr>
                <w:b/>
                <w:bCs/>
              </w:rPr>
              <w:t xml:space="preserve">Item</w:t>
            </w:r>
          </w:p>
        </w:tc>
        <w:tc>
          <w:tcPr>
            <w:tcW w:type="pct" w:w="2000"/>
            <w:tcBorders>
              <w:top w:val="single" w:color="B8C0CC" w:sz="4"/>
              <w:left w:val="single" w:color="B8C0CC" w:sz="4"/>
              <w:bottom w:val="single" w:color="B8C0CC" w:sz="4"/>
              <w:right w:val="single" w:color="B8C0CC" w:sz="4"/>
            </w:tcBorders>
            <w:shd w:fill="E6F2EE" w:color="auto" w:val="clear"/>
            <w:tcMar>
              <w:top w:type="dxa" w:w="60"/>
              <w:left w:type="dxa" w:w="90"/>
              <w:bottom w:type="dxa" w:w="60"/>
              <w:right w:type="dxa" w:w="90"/>
            </w:tcMar>
          </w:tcPr>
          <w:p>
            <w:r>
              <w:rPr>
                <w:b/>
                <w:bCs/>
              </w:rPr>
              <w:t xml:space="preserve">Which copy, which period</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Send the client the list of unclear transactions</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Date, amount and payee for each line, with one question each.</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Collect receipts for card charges and cash spending</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Collect vendor invoices for bills paid this month</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Flag personal charges and book them to owner draws</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
            </w:r>
          </w:p>
        </w:tc>
      </w:tr>
    </w:tbl>
    <w:p>
      <w:pPr>
        <w:pStyle w:val="Heading1"/>
      </w:pPr>
      <w:r>
        <w:t xml:space="preserve">Receivables, payables and payroll</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806"/>
        <w:gridCol w:w="5242"/>
        <w:gridCol w:w="4032"/>
      </w:tblGrid>
      <w:tr>
        <w:trPr>
          <w:tblHeader/>
        </w:trPr>
        <w:tc>
          <w:tcPr>
            <w:tcW w:type="pct" w:w="400"/>
            <w:tcBorders>
              <w:top w:val="single" w:color="B8C0CC" w:sz="4"/>
              <w:left w:val="single" w:color="B8C0CC" w:sz="4"/>
              <w:bottom w:val="single" w:color="B8C0CC" w:sz="4"/>
              <w:right w:val="single" w:color="B8C0CC" w:sz="4"/>
            </w:tcBorders>
            <w:shd w:fill="E6F2EE" w:color="auto" w:val="clear"/>
            <w:tcMar>
              <w:top w:type="dxa" w:w="60"/>
              <w:left w:type="dxa" w:w="90"/>
              <w:bottom w:type="dxa" w:w="60"/>
              <w:right w:type="dxa" w:w="90"/>
            </w:tcMar>
          </w:tcPr>
          <w:p>
            <w:r>
              <w:rPr>
                <w:b/>
                <w:bCs/>
              </w:rPr>
              <w:t xml:space="preserve">Done</w:t>
            </w:r>
          </w:p>
        </w:tc>
        <w:tc>
          <w:tcPr>
            <w:tcW w:type="pct" w:w="2600"/>
            <w:tcBorders>
              <w:top w:val="single" w:color="B8C0CC" w:sz="4"/>
              <w:left w:val="single" w:color="B8C0CC" w:sz="4"/>
              <w:bottom w:val="single" w:color="B8C0CC" w:sz="4"/>
              <w:right w:val="single" w:color="B8C0CC" w:sz="4"/>
            </w:tcBorders>
            <w:shd w:fill="E6F2EE" w:color="auto" w:val="clear"/>
            <w:tcMar>
              <w:top w:type="dxa" w:w="60"/>
              <w:left w:type="dxa" w:w="90"/>
              <w:bottom w:type="dxa" w:w="60"/>
              <w:right w:type="dxa" w:w="90"/>
            </w:tcMar>
          </w:tcPr>
          <w:p>
            <w:r>
              <w:rPr>
                <w:b/>
                <w:bCs/>
              </w:rPr>
              <w:t xml:space="preserve">Item</w:t>
            </w:r>
          </w:p>
        </w:tc>
        <w:tc>
          <w:tcPr>
            <w:tcW w:type="pct" w:w="2000"/>
            <w:tcBorders>
              <w:top w:val="single" w:color="B8C0CC" w:sz="4"/>
              <w:left w:val="single" w:color="B8C0CC" w:sz="4"/>
              <w:bottom w:val="single" w:color="B8C0CC" w:sz="4"/>
              <w:right w:val="single" w:color="B8C0CC" w:sz="4"/>
            </w:tcBorders>
            <w:shd w:fill="E6F2EE" w:color="auto" w:val="clear"/>
            <w:tcMar>
              <w:top w:type="dxa" w:w="60"/>
              <w:left w:type="dxa" w:w="90"/>
              <w:bottom w:type="dxa" w:w="60"/>
              <w:right w:type="dxa" w:w="90"/>
            </w:tcMar>
          </w:tcPr>
          <w:p>
            <w:r>
              <w:rPr>
                <w:b/>
                <w:bCs/>
              </w:rPr>
              <w:t xml:space="preserve">Which copy, which period</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Review the accounts receivable aging</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Follow up on old balances and check for payments not applied.</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Check that customer invoices match recorded sales</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Review the accounts payable aging</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Enter bills received but not yet recorded.</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Tie payroll expense and liabilities to the payroll register</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Gross pay, employer taxes, withholdings and net pay.</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Update contractor payment totals for Form 1099-NEC</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Check that a Form W-9 is on file for each contractor and note its entity type: corporations are generally exempt, except attorneys.</w:t>
            </w:r>
          </w:p>
        </w:tc>
      </w:tr>
    </w:tbl>
    <w:p>
      <w:pPr>
        <w:pStyle w:val="Heading1"/>
      </w:pPr>
      <w:r>
        <w:t xml:space="preserve">Taxes, accruals, assets and equity</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806"/>
        <w:gridCol w:w="5242"/>
        <w:gridCol w:w="4032"/>
      </w:tblGrid>
      <w:tr>
        <w:trPr>
          <w:tblHeader/>
        </w:trPr>
        <w:tc>
          <w:tcPr>
            <w:tcW w:type="pct" w:w="400"/>
            <w:tcBorders>
              <w:top w:val="single" w:color="B8C0CC" w:sz="4"/>
              <w:left w:val="single" w:color="B8C0CC" w:sz="4"/>
              <w:bottom w:val="single" w:color="B8C0CC" w:sz="4"/>
              <w:right w:val="single" w:color="B8C0CC" w:sz="4"/>
            </w:tcBorders>
            <w:shd w:fill="E6F2EE" w:color="auto" w:val="clear"/>
            <w:tcMar>
              <w:top w:type="dxa" w:w="60"/>
              <w:left w:type="dxa" w:w="90"/>
              <w:bottom w:type="dxa" w:w="60"/>
              <w:right w:type="dxa" w:w="90"/>
            </w:tcMar>
          </w:tcPr>
          <w:p>
            <w:r>
              <w:rPr>
                <w:b/>
                <w:bCs/>
              </w:rPr>
              <w:t xml:space="preserve">Done</w:t>
            </w:r>
          </w:p>
        </w:tc>
        <w:tc>
          <w:tcPr>
            <w:tcW w:type="pct" w:w="2600"/>
            <w:tcBorders>
              <w:top w:val="single" w:color="B8C0CC" w:sz="4"/>
              <w:left w:val="single" w:color="B8C0CC" w:sz="4"/>
              <w:bottom w:val="single" w:color="B8C0CC" w:sz="4"/>
              <w:right w:val="single" w:color="B8C0CC" w:sz="4"/>
            </w:tcBorders>
            <w:shd w:fill="E6F2EE" w:color="auto" w:val="clear"/>
            <w:tcMar>
              <w:top w:type="dxa" w:w="60"/>
              <w:left w:type="dxa" w:w="90"/>
              <w:bottom w:type="dxa" w:w="60"/>
              <w:right w:type="dxa" w:w="90"/>
            </w:tcMar>
          </w:tcPr>
          <w:p>
            <w:r>
              <w:rPr>
                <w:b/>
                <w:bCs/>
              </w:rPr>
              <w:t xml:space="preserve">Item</w:t>
            </w:r>
          </w:p>
        </w:tc>
        <w:tc>
          <w:tcPr>
            <w:tcW w:type="pct" w:w="2000"/>
            <w:tcBorders>
              <w:top w:val="single" w:color="B8C0CC" w:sz="4"/>
              <w:left w:val="single" w:color="B8C0CC" w:sz="4"/>
              <w:bottom w:val="single" w:color="B8C0CC" w:sz="4"/>
              <w:right w:val="single" w:color="B8C0CC" w:sz="4"/>
            </w:tcBorders>
            <w:shd w:fill="E6F2EE" w:color="auto" w:val="clear"/>
            <w:tcMar>
              <w:top w:type="dxa" w:w="60"/>
              <w:left w:type="dxa" w:w="90"/>
              <w:bottom w:type="dxa" w:w="60"/>
              <w:right w:type="dxa" w:w="90"/>
            </w:tcMar>
          </w:tcPr>
          <w:p>
            <w:r>
              <w:rPr>
                <w:b/>
                <w:bCs/>
              </w:rPr>
              <w:t xml:space="preserve">Which copy, which period</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Compare sales tax payable to tax charged on sales</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Filing schedule and rates depend on the client’s state.</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Record accrued expenses and deferred revenue</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Accrual basis only.</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Move this month’s share of prepaid expenses to expense</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Accrual basis only.</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Apply the client’s capitalization policy to large purchases</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Expense items under the de minimis safe harbor if elected; capitalize the rest.</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Record fixed asset additions and depreciation</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From the purchase invoice: date, price and description.</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Book owner draws and contributions to equity</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
            </w:r>
          </w:p>
        </w:tc>
      </w:tr>
    </w:tbl>
    <w:p>
      <w:pPr>
        <w:pStyle w:val="Heading1"/>
      </w:pPr>
      <w:r>
        <w:t xml:space="preserve">Review, lock and report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806"/>
        <w:gridCol w:w="5242"/>
        <w:gridCol w:w="4032"/>
      </w:tblGrid>
      <w:tr>
        <w:trPr>
          <w:tblHeader/>
        </w:trPr>
        <w:tc>
          <w:tcPr>
            <w:tcW w:type="pct" w:w="400"/>
            <w:tcBorders>
              <w:top w:val="single" w:color="B8C0CC" w:sz="4"/>
              <w:left w:val="single" w:color="B8C0CC" w:sz="4"/>
              <w:bottom w:val="single" w:color="B8C0CC" w:sz="4"/>
              <w:right w:val="single" w:color="B8C0CC" w:sz="4"/>
            </w:tcBorders>
            <w:shd w:fill="E6F2EE" w:color="auto" w:val="clear"/>
            <w:tcMar>
              <w:top w:type="dxa" w:w="60"/>
              <w:left w:type="dxa" w:w="90"/>
              <w:bottom w:type="dxa" w:w="60"/>
              <w:right w:type="dxa" w:w="90"/>
            </w:tcMar>
          </w:tcPr>
          <w:p>
            <w:r>
              <w:rPr>
                <w:b/>
                <w:bCs/>
              </w:rPr>
              <w:t xml:space="preserve">Done</w:t>
            </w:r>
          </w:p>
        </w:tc>
        <w:tc>
          <w:tcPr>
            <w:tcW w:type="pct" w:w="2600"/>
            <w:tcBorders>
              <w:top w:val="single" w:color="B8C0CC" w:sz="4"/>
              <w:left w:val="single" w:color="B8C0CC" w:sz="4"/>
              <w:bottom w:val="single" w:color="B8C0CC" w:sz="4"/>
              <w:right w:val="single" w:color="B8C0CC" w:sz="4"/>
            </w:tcBorders>
            <w:shd w:fill="E6F2EE" w:color="auto" w:val="clear"/>
            <w:tcMar>
              <w:top w:type="dxa" w:w="60"/>
              <w:left w:type="dxa" w:w="90"/>
              <w:bottom w:type="dxa" w:w="60"/>
              <w:right w:type="dxa" w:w="90"/>
            </w:tcMar>
          </w:tcPr>
          <w:p>
            <w:r>
              <w:rPr>
                <w:b/>
                <w:bCs/>
              </w:rPr>
              <w:t xml:space="preserve">Item</w:t>
            </w:r>
          </w:p>
        </w:tc>
        <w:tc>
          <w:tcPr>
            <w:tcW w:type="pct" w:w="2000"/>
            <w:tcBorders>
              <w:top w:val="single" w:color="B8C0CC" w:sz="4"/>
              <w:left w:val="single" w:color="B8C0CC" w:sz="4"/>
              <w:bottom w:val="single" w:color="B8C0CC" w:sz="4"/>
              <w:right w:val="single" w:color="B8C0CC" w:sz="4"/>
            </w:tcBorders>
            <w:shd w:fill="E6F2EE" w:color="auto" w:val="clear"/>
            <w:tcMar>
              <w:top w:type="dxa" w:w="60"/>
              <w:left w:type="dxa" w:w="90"/>
              <w:bottom w:type="dxa" w:w="60"/>
              <w:right w:type="dxa" w:w="90"/>
            </w:tcMar>
          </w:tcPr>
          <w:p>
            <w:r>
              <w:rPr>
                <w:b/>
                <w:bCs/>
              </w:rPr>
              <w:t xml:space="preserve">Which copy, which period</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Compare the profit and loss to the prior month and prior year</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Explain every line that moved more than the firm’s variance threshold.</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Check that every balance sheet account has support</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A statement, schedule or reconciliation for each balance.</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Lock the period or set the closing date in the software</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Save statements, reconciliations and reports to the month folder</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Send the client the reports and the open questions</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Preparer and reviewer initials and dates on the close</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
            </w:r>
          </w:p>
        </w:tc>
      </w:tr>
    </w:tbl>
    <w:sectPr>
      <w:headerReference w:type="default" r:id="rId6"/>
      <w:footerReference w:type="default" r:id="rId7"/>
      <w:pgSz w:w="12240" w:h="15840"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B6472"/>
        <w:sz w:val="16"/>
        <w:szCs w:val="16"/>
      </w:rPr>
      <w:t xml:space="preserve">Month-end close checklist  |  dokutrak.com/checklists/month-end-close   |   Page </w:t>
    </w:r>
    <w:r>
      <w:rPr>
        <w:color w:val="5B647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A93A0"/>
        <w:sz w:val="18"/>
        <w:szCs w:val="18"/>
      </w:rPr>
      <w:t xml:space="preserve">[Your firm name and logo]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rFonts w:ascii="Calibri" w:cs="Calibri" w:eastAsia="Calibri" w:hAnsi="Calibri"/>
      <w:b/>
      <w:bCs/>
      <w:color w:val="0F172A"/>
      <w:sz w:val="40"/>
      <w:szCs w:val="40"/>
    </w:rPr>
  </w:style>
  <w:style w:type="paragraph" w:styleId="Heading1">
    <w:name w:val="Heading 1"/>
    <w:basedOn w:val="Normal"/>
    <w:next w:val="Normal"/>
    <w:qFormat/>
    <w:pPr>
      <w:spacing w:after="100" w:before="280"/>
    </w:pPr>
    <w:rPr>
      <w:rFonts w:ascii="Calibri" w:cs="Calibri" w:eastAsia="Calibri" w:hAnsi="Calibri"/>
      <w:b/>
      <w:bCs/>
      <w:color w:val="0F172A"/>
      <w:sz w:val="26"/>
      <w:szCs w:val="26"/>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Month-end close checklist</dc:title>
  <dc:creator>DokuTrak</dc:creator>
  <dc:description>A month-end close checklist for small-business books: statements to collect, accounts to reconcile, payroll and sales tax checks. PDF, Word, Excel.</dc:description>
  <cp:lastModifiedBy>DokuTrak</cp:lastModifiedBy>
  <cp:revision>1</cp:revision>
  <dcterms:created xsi:type="dcterms:W3CDTF">2026-10-25T12:00:00Z</dcterms:created>
  <dcterms:modified xsi:type="dcterms:W3CDTF">2026-10-25T12:00:00Z</dcterms:modified>
</cp:coreProperties>
</file>

<file path=docProps/custom.xml><?xml version="1.0" encoding="utf-8"?>
<Properties xmlns="http://schemas.openxmlformats.org/officeDocument/2006/custom-properties" xmlns:vt="http://schemas.openxmlformats.org/officeDocument/2006/docPropsVTypes"/>
</file>