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Bookkeeping clean-up checklist</w:t>
      </w:r>
    </w:p>
    <w:p>
      <w:r>
        <w:rPr>
          <w:color w:val="5B6472"/>
        </w:rPr>
        <w:t xml:space="preserve">Work the groups in order. Send the whole collection group to the client on day one, and keep the statement grid next to this list until every cell reads reconciled.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Scope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Find the last month whose reconciliations still tie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Its ending balances become the clean-up starting point.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every account used in the period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Bank, card, loan and merchant accounts, closed ones included.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filings that wait on the clean-up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Unfiled income tax, payroll returns, Forms 1099.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Agree the end date and fee in writing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Collect from the client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every account and month in scope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PDF from the bank, not a spreadsheet export.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 for every card and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 or mortgage statements for the period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Showing principal, interest and ending balance.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for each year in scope, if the lender issues one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Sole proprietors only; corporations and partnerships use the lender’s year-end statement.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Merchant processor reports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sales, fees, refunds and payouts by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registers and pay stubs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pay date in the period, from the provider.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tax returns filed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compare opening balances.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W-9 for each vendor paid for services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Vendor invoices for large or unclear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Fix the ledger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Delete duplicate transactions after matching to the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Code uncategorized lines; send the unknowns list to the client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Clear undeposited funds against real deposits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Void stale checks with the client’s written agreement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Reconcile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Reconcile each account month by month from the last good month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 each cell of the statement grid as reconciled.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Clean receivables and payables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Remove paid or duplicate invoices; match bills to payments.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Tie payroll liabilities to filed returns and deposits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Confirm a Form 941 and deposits exist for every quarter in scope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EFTPS payment history or an IRS account transcript.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late Forms 1099 by payment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$600 floor for 2025 and earlier payments; $2,000 after 2025.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Compare opening balances to the last tax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Document any difference in a note.</w:t>
            </w:r>
          </w:p>
        </w:tc>
      </w:tr>
    </w:tbl>
    <w:p>
      <w:pPr>
        <w:pStyle w:val="Heading1"/>
      </w:pPr>
      <w:r>
        <w:t xml:space="preserve">Sign 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Write the sign-off memo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Period, accounts, adjustments and any month lacking a statement.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Get the client’s signature on the memo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Set the closing date at the clean-up end date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Start a monthly document request for the next period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Bookkeeping clean-up checklist  |  dokutrak.com/checklists/bookkeeping/clean-up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Bookkeeping clean-up checklist</dc:title>
  <dc:creator>DokuTrak</dc:creator>
  <dc:description>A bookkeeping clean up checklist for catch-up work: scope the period, request every missing statement, fix and reconcile each month, then sign off.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