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Online organizer setup worksheet for tax firms</w:t>
      </w:r>
    </w:p>
    <w:p>
      <w:r>
        <w:rPr>
          <w:color w:val="5B6472"/>
          <w:sz w:val="24"/>
          <w:szCs w:val="24"/>
        </w:rPr>
        <w:t xml:space="preserve">Answer before you choose or renew an online organizer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Work through this worksheet once a year, before the first organizer goes out.</w:t>
      </w:r>
    </w:p>
    <w:p>
      <w:r>
        <w:t xml:space="preserve">Each yes names what you need ready. Keep the answers with your written security plan.</w:t>
      </w:r>
    </w:p>
    <w:p>
      <w:r>
        <w:t xml:space="preserve">Answer for the firm as a whole, then note any client group that needs a different route.</w:t>
      </w:r>
    </w:p>
    <w:p>
      <w:pPr>
        <w:pStyle w:val="Heading1"/>
      </w:pPr>
      <w:r>
        <w:t xml:space="preserve">Your clients</w:t>
      </w:r>
    </w:p>
    <w:p>
      <w:r>
        <w:rPr>
          <w:i/>
          <w:iCs/>
          <w:color w:val="5B6472"/>
          <w:sz w:val="18"/>
          <w:szCs w:val="18"/>
        </w:rPr>
        <w:t xml:space="preserve">Based on: Form 13614-C structure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most of your clients returning, with last year’s return in your tax software?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list of returning clients to roll over</w:t>
            </w:r>
          </w:p>
          <w:p>
            <w:r>
              <w:rPr>
                <w:sz w:val="18"/>
                <w:szCs w:val="18"/>
              </w:rPr>
              <w:t xml:space="preserve">Last year’s returns in the software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take on many new clients each season?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short yes/no questionnaire for new clients</w:t>
            </w:r>
          </w:p>
          <w:p>
            <w:r>
              <w:rPr>
                <w:sz w:val="18"/>
                <w:szCs w:val="18"/>
              </w:rPr>
              <w:t xml:space="preserve">A request for each new client’s prior-year return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some clients refuse to create accounts or logins?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no-login route: fillable PDF or request link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prepare business returns as well as individual returns?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separate organizer for each entity type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Number of organizers you expect to send this season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What the organizer must do</w:t>
      </w:r>
    </w:p>
    <w:p>
      <w:r>
        <w:rPr>
          <w:i/>
          <w:iCs/>
          <w:color w:val="5B6472"/>
          <w:sz w:val="18"/>
          <w:szCs w:val="18"/>
        </w:rPr>
        <w:t xml:space="preserve">Based on: Your workflow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need answers to flow into the return without retyping?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organizer module of your tax software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Should sections appear only after a related yes?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tool with conditional questions</w:t>
            </w:r>
          </w:p>
          <w:p>
            <w:r>
              <w:rPr>
                <w:sz w:val="18"/>
                <w:szCs w:val="18"/>
              </w:rPr>
              <w:t xml:space="preserve">The question tree written out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clients need to upload documents next to their answers?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list of documents expected from each client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want reminders sent until every document arrives?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Reminder schedule and wording</w:t>
            </w:r>
          </w:p>
          <w:p>
            <w:r>
              <w:rPr>
                <w:sz w:val="18"/>
                <w:szCs w:val="18"/>
              </w:rPr>
              <w:t xml:space="preserve">A follow-up email template</w:t>
            </w:r>
          </w:p>
        </w:tc>
      </w:tr>
    </w:tbl>
    <w:p>
      <w:pPr>
        <w:pStyle w:val="Heading1"/>
      </w:pPr>
      <w:r>
        <w:t xml:space="preserve">Security and consent</w:t>
      </w:r>
    </w:p>
    <w:p>
      <w:r>
        <w:rPr>
          <w:i/>
          <w:iCs/>
          <w:color w:val="5B6472"/>
          <w:sz w:val="18"/>
          <w:szCs w:val="18"/>
        </w:rPr>
        <w:t xml:space="preserve">Based on: 16 CFR Part 314; Publication 4557; 26 CFR 301.7216-3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a written information security program?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current written plan</w:t>
            </w:r>
          </w:p>
          <w:p>
            <w:r>
              <w:rPr>
                <w:sz w:val="18"/>
                <w:szCs w:val="18"/>
              </w:rPr>
              <w:t xml:space="preserve">Name of the person who oversees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client data encrypted in transit and at rest in every tool you use?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Vendor security documentation for each tool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any clients still email organizers or documents?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secure upload route to give them instead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Will you use organizer answers for anything besides the return?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separate signed consent from each client</w:t>
            </w:r>
          </w:p>
        </w:tc>
      </w:tr>
    </w:tbl>
    <w:p>
      <w:pPr>
        <w:pStyle w:val="Heading1"/>
      </w:pPr>
      <w:r>
        <w:t xml:space="preserve">Sending and follow-up</w:t>
      </w:r>
    </w:p>
    <w:p>
      <w:r>
        <w:rPr>
          <w:i/>
          <w:iCs/>
          <w:color w:val="5B6472"/>
          <w:sz w:val="18"/>
          <w:szCs w:val="18"/>
        </w:rPr>
        <w:t xml:space="preserve">Based on: Firm calendar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send a cover letter with the organizer?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This year’s cover letter, with the return date filled in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the organizers go out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you need them back, ahead of your internal filing cut-off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track which clients have not started their organizer?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tracker or report of open organizers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e-file signature happen in a separate tool?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8879 process in your tax software or e-signature tool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Online organizer setup worksheet for tax firms  |  dokutrak.com/templates/tax-organizers/online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organizer setup worksheet for tax firms, Answer before you choose or renew an online organizer</dc:title>
  <dc:creator>DokuTrak</dc:creator>
  <dc:description>How firms run a tax organizer online: fillable PDF, the organizer in tax software, form builders and document request links. What each does, what it misses.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