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 corporation tax organizer (Form 1120)</w:t>
      </w:r>
    </w:p>
    <w:p>
      <w:r>
        <w:rPr>
          <w:color w:val="5B6472"/>
          <w:sz w:val="24"/>
          <w:szCs w:val="24"/>
        </w:rPr>
        <w:t xml:space="preserve">2026 tax year, Form 1120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Complete one organizer for each corporation. A parent and its subsidiaries each answer the ownership block.</w:t>
      </w:r>
    </w:p>
    <w:p>
      <w:r>
        <w:t xml:space="preserve">For each yes, attach the documents listed. Give amounts from the books, and attach the report they came from.</w:t>
      </w:r>
    </w:p>
    <w:p>
      <w:r>
        <w:t xml:space="preserve">Include last year’s Form 1120 with every schedule, so carryovers can be checked.</w:t>
      </w:r>
    </w:p>
    <w:p>
      <w:pPr>
        <w:pStyle w:val="Heading1"/>
      </w:pPr>
      <w:r>
        <w:t xml:space="preserve">Corporation details</w:t>
      </w:r>
    </w:p>
    <w:p>
      <w:r>
        <w:rPr>
          <w:i/>
          <w:iCs/>
          <w:color w:val="5B6472"/>
          <w:sz w:val="18"/>
          <w:szCs w:val="18"/>
        </w:rPr>
        <w:t xml:space="preserve">Based on: Form 1120, page 1, items A to 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Corporation name, EIN and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and date of incorporation, and tax year end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Accounting method: cash or accrual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change its name, address, tax year or method?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Change forms filed or IRS letters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 any IRS or state notice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each notice</w:t>
            </w:r>
          </w:p>
        </w:tc>
      </w:tr>
    </w:tbl>
    <w:p>
      <w:pPr>
        <w:pStyle w:val="Heading1"/>
      </w:pPr>
      <w:r>
        <w:t xml:space="preserve">Ownership</w:t>
      </w:r>
    </w:p>
    <w:p>
      <w:r>
        <w:rPr>
          <w:i/>
          <w:iCs/>
          <w:color w:val="5B6472"/>
          <w:sz w:val="18"/>
          <w:szCs w:val="18"/>
        </w:rPr>
        <w:t xml:space="preserve">Based on: Form 1120, Schedule K questions; Schedule G; Form 5472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individual, estate or entity own 20% or more of the voting stock directly, or 50% or more in total?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taxpayer number and percentage owned for each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one foreign person own at least 25% of the votes or value of the stock?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 details</w:t>
            </w:r>
          </w:p>
          <w:p>
            <w:r>
              <w:rPr>
                <w:sz w:val="18"/>
                <w:szCs w:val="18"/>
              </w:rPr>
              <w:t xml:space="preserve">List of transactions with that owner or related parties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own 20% or more of another corporation, partnership or trust?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EIN and percentage owned for each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ownership of the corporation change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Stock purchase or transfer agreements with dates</w:t>
            </w:r>
          </w:p>
        </w:tc>
      </w:tr>
    </w:tbl>
    <w:p>
      <w:pPr>
        <w:pStyle w:val="Heading1"/>
      </w:pPr>
      <w:r>
        <w:t xml:space="preserve">Books and accounts</w:t>
      </w:r>
    </w:p>
    <w:p>
      <w:r>
        <w:rPr>
          <w:i/>
          <w:iCs/>
          <w:color w:val="5B6472"/>
          <w:sz w:val="18"/>
          <w:szCs w:val="18"/>
        </w:rPr>
        <w:t xml:space="preserve">Based on: Form 1120, Schedules L, M-1, M-2 or M-3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trial balance, profit and loss and balance sheet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as of the last day of the tax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receipts and total assets at year end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have bank, card or loan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statements for each account</w:t>
            </w:r>
          </w:p>
          <w:p>
            <w:r>
              <w:rPr>
                <w:sz w:val="18"/>
                <w:szCs w:val="18"/>
              </w:rPr>
              <w:t xml:space="preserve">Loan statements with interest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the financial statements audited or reviewed?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issued financial statements</w:t>
            </w:r>
          </w:p>
          <w:p>
            <w:r>
              <w:rPr>
                <w:sz w:val="18"/>
                <w:szCs w:val="18"/>
              </w:rPr>
              <w:t xml:space="preserve">Schedule UTP from last year, if the corporation filed one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fines, penalties, political contributions or club dues?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by category</w:t>
            </w:r>
          </w:p>
        </w:tc>
      </w:tr>
    </w:tbl>
    <w:p>
      <w:pPr>
        <w:pStyle w:val="Heading1"/>
      </w:pPr>
      <w:r>
        <w:t xml:space="preserve">Income and cost of goods sold</w:t>
      </w:r>
    </w:p>
    <w:p>
      <w:r>
        <w:rPr>
          <w:i/>
          <w:iCs/>
          <w:color w:val="5B6472"/>
          <w:sz w:val="18"/>
          <w:szCs w:val="18"/>
        </w:rPr>
        <w:t xml:space="preserve">Based on: Form 1120, lines 1 to 10; Form 1125-A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 Forms 1099-K, 1099-NEC or 1099-MISC?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hold inventory?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Inventory at the start and end of the year</w:t>
            </w:r>
          </w:p>
          <w:p>
            <w:r>
              <w:rPr>
                <w:sz w:val="18"/>
                <w:szCs w:val="18"/>
              </w:rPr>
              <w:t xml:space="preserve">Purchases and valuation method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 dividends or interest from investments?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1099-DIV and 1099-INT</w:t>
            </w:r>
          </w:p>
          <w:p>
            <w:r>
              <w:rPr>
                <w:sz w:val="18"/>
                <w:szCs w:val="18"/>
              </w:rPr>
              <w:t xml:space="preserve">Brokerage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receive, sell, exchange or otherwise dispose of any digital asset?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Exchange or wallet reports for the year</w:t>
            </w:r>
          </w:p>
          <w:p>
            <w:r>
              <w:rPr>
                <w:sz w:val="18"/>
                <w:szCs w:val="18"/>
              </w:rPr>
              <w:t xml:space="preserve">Form 1099-DA, if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or incur research or software development costs in the United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Cost detail by project</w:t>
            </w:r>
          </w:p>
          <w:p>
            <w:r>
              <w:rPr>
                <w:sz w:val="18"/>
                <w:szCs w:val="18"/>
              </w:rPr>
              <w:t xml:space="preserve">Prior-year amortization schedule for research costs, if any</w:t>
            </w:r>
          </w:p>
        </w:tc>
      </w:tr>
    </w:tbl>
    <w:p>
      <w:pPr>
        <w:pStyle w:val="Heading1"/>
      </w:pPr>
      <w:r>
        <w:t xml:space="preserve">Officers, shareholders and payroll</w:t>
      </w:r>
    </w:p>
    <w:p>
      <w:r>
        <w:rPr>
          <w:i/>
          <w:iCs/>
          <w:color w:val="5B6472"/>
          <w:sz w:val="18"/>
          <w:szCs w:val="18"/>
        </w:rPr>
        <w:t xml:space="preserve">Based on: Form 1125-E; Forms 941, 940, W-2, W-3 and 1099-DIV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Officer name, SSN, percent of stock, time devoted and pay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file payroll returns?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 for each quarter</w:t>
            </w:r>
          </w:p>
          <w:p>
            <w:r>
              <w:rPr>
                <w:sz w:val="18"/>
                <w:szCs w:val="18"/>
              </w:rPr>
              <w:t xml:space="preserve">Form 940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dividends to shareholders?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amounts</w:t>
            </w:r>
          </w:p>
          <w:p>
            <w:r>
              <w:rPr>
                <w:sz w:val="18"/>
                <w:szCs w:val="18"/>
              </w:rPr>
              <w:t xml:space="preserve">Forms 1099-DIV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there loans between the corporation and a shareholder?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Promissory notes</w:t>
            </w:r>
          </w:p>
          <w:p>
            <w:r>
              <w:rPr>
                <w:sz w:val="18"/>
                <w:szCs w:val="18"/>
              </w:rPr>
              <w:t xml:space="preserve">Interest charged and repayments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contractors $2,000 or more?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the Forms 1099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make any payment that requires it to file a Form 1099?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Forms 1099 filed, by type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rent or fees to an owner or a related company?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or service agreement</w:t>
            </w:r>
          </w:p>
          <w:p>
            <w:r>
              <w:rPr>
                <w:sz w:val="18"/>
                <w:szCs w:val="18"/>
              </w:rPr>
              <w:t xml:space="preserve">Amounts paid</w:t>
            </w:r>
          </w:p>
        </w:tc>
      </w:tr>
    </w:tbl>
    <w:p>
      <w:pPr>
        <w:pStyle w:val="Heading1"/>
      </w:pPr>
      <w:r>
        <w:t xml:space="preserve">Assets, payments and carryovers</w:t>
      </w:r>
    </w:p>
    <w:p>
      <w:r>
        <w:rPr>
          <w:i/>
          <w:iCs/>
          <w:color w:val="5B6472"/>
          <w:sz w:val="18"/>
          <w:szCs w:val="18"/>
        </w:rPr>
        <w:t xml:space="preserve">Based on: Form 4562; Form 1120, Schedule J and estimated tax lines; prior-year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buy or sell equipment, vehicles or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sale documents with dates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make estimated tax payments?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  <w:p>
            <w:r>
              <w:rPr>
                <w:sz w:val="18"/>
                <w:szCs w:val="18"/>
              </w:rPr>
              <w:t xml:space="preserve">Federal deposit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an overpayment from last year applied to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Form 1120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give to charity?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acknowledgments for each gift</w:t>
            </w:r>
          </w:p>
          <w:p>
            <w:r>
              <w:rPr>
                <w:sz w:val="18"/>
                <w:szCs w:val="18"/>
              </w:rPr>
              <w:t xml:space="preserve">Charitable carryover from the prior-year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have a net operating loss or credit carried from earlier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Carryover schedules from the prior-year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owe income or franchise tax in other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state returns</w:t>
            </w:r>
          </w:p>
          <w:p>
            <w:r>
              <w:rPr>
                <w:sz w:val="18"/>
                <w:szCs w:val="18"/>
              </w:rPr>
              <w:t xml:space="preserve">State payments with dates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 corporation tax organizer (Form 1120)  |  dokutrak.com/templates/tax-organizers/c-corporation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corporation tax organizer (Form 1120), 2026 tax year, Form 1120</dc:title>
  <dc:creator>DokuTrak</dc:creator>
  <dc:description>A corporation tax organizer for Form 1120: ownership questions behind Schedule G, officer pay, dividends, estimated tax, Schedules L and M-1, and carryovers.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