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Author and freelance writer records: fees, advances, royalties</w:t>
      </w:r>
    </w:p>
    <w:p>
      <w:r>
        <w:rPr>
          <w:color w:val="5B6472"/>
        </w:rPr>
        <w:t xml:space="preserve">Give each book or client its own line of receipts. Royalty statements from the second half of the year often arrive late, so leave those lines open.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Income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1099-NEC from each publication, studio or content client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 for the year, with your invoice log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1099-MISC from publishers and self-publishing services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Box 2 royalties, matched to each royalty statement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Publishing contracts and advance payment records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Which installments were paid in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Literary agency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royalties and commission kept, by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1099-K or payout reports from newsletter or membership services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Gross payouts and fees for the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Foreign royalty statements showing tax withheld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foreign tax credit on Form 1116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Prize, grant or fellowship award letters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any Form 1099-MISC the sponsor sent</w:t>
            </w:r>
          </w:p>
        </w:tc>
      </w:tr>
    </w:tbl>
    <w:p>
      <w:pPr>
        <w:pStyle w:val="Heading1"/>
      </w:pPr>
      <w:r>
        <w:t xml:space="preserve">Book and project costs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Editing, proofreading and cover design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Named by book or project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ISBN, copyright registration and formatting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Dated, with the title they cover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Print run invoices and an inventory 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Copies bought, sold and left at year end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Book ads, launch services and review copy costs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Card statements or invoices</w:t>
            </w:r>
          </w:p>
        </w:tc>
      </w:tr>
    </w:tbl>
    <w:p>
      <w:pPr>
        <w:pStyle w:val="Heading1"/>
      </w:pPr>
      <w:r>
        <w:t xml:space="preserve">Workspace and tools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Home office measurements and home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Square feet of the study and of the home, rent or mortgage interest, utilities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Computer and equipment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the date each was ready for use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Software, website, domain and email list service bills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Annual receipts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Research books, subscriptions and database fees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Tied to a current project</w:t>
            </w:r>
          </w:p>
        </w:tc>
      </w:tr>
    </w:tbl>
    <w:p>
      <w:pPr>
        <w:pStyle w:val="Heading1"/>
      </w:pPr>
      <w:r>
        <w:t xml:space="preserve">Travel, proof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Research trip itinerary with airfare, hotel and meal receipts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Day by day notes on the work done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Submissions log and time log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Shows how you run the writing as a business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Statements for the account your writing income runs through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January to December, so advances and royalties can be traced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year’s return and the quarterly payments made on advances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Each payment dated, federal and state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Author and freelance writer records: fees, advances, royalties  |  dokutrak.com/checklists/tax-documents/writers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and freelance writer records: fees, advances, royalties</dc:title>
  <dc:creator>DokuTrak</dc:creator>
  <dc:description>What a freelance writer or author gathers: 1099-NEC fees, 1099-MISC royalties, advance records, editing and research costs, and proof the work is a business.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