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IRS audit checklist: steps and client documents</w:t>
      </w:r>
    </w:p>
    <w:p>
      <w:r>
        <w:rPr>
          <w:color w:val="5B6472"/>
        </w:rPr>
        <w:t xml:space="preserve">Part one is the practitioner’s file; the rest is the client request, trimmed to the items named in the IRS letter. Strike any group the letter does not mention.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Practitioner file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The IRS audit letter, every page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Year, items under exam, exam type, response date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Signed Form 2848 for each year under exam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your CAF number, filed before you contact the auditor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4564 Information Document Request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Answer item by item, by the date the examiner set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Filed return for the year, with every schedule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version the IRS has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IRS account and return transcripts for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Confirm what the IRS has on file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Returns for the year before and after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 case the audit expands</w:t>
            </w:r>
          </w:p>
        </w:tc>
      </w:tr>
    </w:tbl>
    <w:p>
      <w:pPr>
        <w:pStyle w:val="Heading1"/>
      </w:pPr>
      <w:r>
        <w:t xml:space="preserve">Income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W-2 and 1099 received for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All payers, including corrected forms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statements for every account, all months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Personal and business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Explanation of deposits that are not income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Transfers, loans, gifts, refunds, with proof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1099-NEC and 1099-K for business income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client’s own sales records</w:t>
            </w:r>
          </w:p>
        </w:tc>
      </w:tr>
    </w:tbl>
    <w:p>
      <w:pPr>
        <w:pStyle w:val="Heading1"/>
      </w:pPr>
      <w:r>
        <w:t xml:space="preserve">Expense and deduction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Invoices and receipts for each expense under exam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Showing date, payee, amount and what was bought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Credit card statements matching those expenses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Proof of payment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Contracts or agreements for large payments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Contractors, rent, equipment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Mileage log and travel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place, business purpose and miles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1098, property tax bills, donation letters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itemized deductions under exam</w:t>
            </w:r>
          </w:p>
        </w:tc>
      </w:tr>
    </w:tbl>
    <w:p>
      <w:pPr>
        <w:pStyle w:val="Heading1"/>
      </w:pPr>
      <w:r>
        <w:t xml:space="preserve">Close-out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Index of every document sent, with dates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Copies only; keep the originals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Proof of delivery for each response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Fax confirmation or tracking number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4549 or Form 870, signed, or a written protest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protest goes out with the 30-day letter’s deadline in view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872 consent, only if asked to extend the statute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Check whether to limit it to certain issues or a date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30-day letter and 90-day letter, with their dates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90-day letter starts the Tax Court petition deadline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IRS audit checklist: steps and client documents  |  dokutrak.com/checklists/tax-documents/irs-audit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IRS audit checklist: steps and client documents</dc:title>
  <dc:creator>DokuTrak</dc:creator>
  <dc:description>An IRS audit checklist for preparers: read the letter, file Form 2848, then request the documents behind each item under exam, from bank statements to logs.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