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Contractor income match and deduction file</w:t>
      </w:r>
    </w:p>
    <w:p>
      <w:r>
        <w:rPr>
          <w:color w:val="5B6472"/>
        </w:rPr>
        <w:t xml:space="preserve">Start with the client list for the tax year, then tick each form and record as it goes in the folder. Write "no form" next to a client who sent none, and keep their invoices instead.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Client forms and income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Client list with the amount each paid you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Built from invoices for the full tax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Every Form 1099-NEC received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2025: clients at $600 or more; 2026: clients at $2,000 or more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1099-K from each card processor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Sent for any amount of card payments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1099-K from each payment app or marketplace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Mark payments that also appear on a 1099-NEC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1099-MISC for rents, prizes or royalties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a client paid you something other than fees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Corrected forms requested or received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your note of what was wrong on the first copy</w:t>
            </w:r>
          </w:p>
        </w:tc>
      </w:tr>
    </w:tbl>
    <w:p>
      <w:pPr>
        <w:pStyle w:val="Heading1"/>
      </w:pPr>
      <w:r>
        <w:t xml:space="preserve">Deposits, invoices and rebilled costs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Invoices you issued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All of them, numbered, for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Bank statements for the account clients pay into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month, to match against forms and invoices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Expense reports sent to clients, with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Travel and meals billed back, and what each client repaid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Signed contracts or statements of work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Each one in force during the year, with any retainer terms</w:t>
            </w:r>
          </w:p>
        </w:tc>
      </w:tr>
    </w:tbl>
    <w:p>
      <w:pPr>
        <w:pStyle w:val="Heading1"/>
      </w:pPr>
      <w:r>
        <w:t xml:space="preserve">Work costs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Receipts for gear, tools, laptop or phone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purchase date and business-use share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Software subscriptions and professional dues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Annual or monthly invoices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Business credit card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month, personal charges marked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Mileage log for trips to client sites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place, purpose, miles; no commuting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Liability or E&amp;O insurance premium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the policy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W-9 from each helper you paid, and the forms you sent them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you hired your own subcontractors</w:t>
            </w:r>
          </w:p>
        </w:tc>
      </w:tr>
    </w:tbl>
    <w:p>
      <w:pPr>
        <w:pStyle w:val="Heading1"/>
      </w:pPr>
      <w:r>
        <w:t xml:space="preserve">QBI, payments and prior year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Spouse’s income forms, on a joint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Needed to test taxable income against the QBI threshold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Form 8995 or 8995-A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any QBI loss carried forward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Form 4562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Depreciation already taken on gear and vehicles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Estimated tax payment confirmations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Federal and state, date and amount of each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SEP-IRA or solo 401(k) contribution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Contributions made for the tax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tax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Full copy, with Schedule C and Schedule SE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Contractor income match and deduction file  |  dokutrak.com/checklists/tax-documents/independent-contractors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income match and deduction file</dc:title>
  <dc:creator>DokuTrak</dc:creator>
  <dc:description>For workers paid on Form 1099-NEC or 1099-K: the 2025 and 2026 thresholds, matching forms to deposits, rebilled costs, QBI inputs and receipts to keep.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