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Tax records retention schedule</w:t>
      </w:r>
    </w:p>
    <w:p>
      <w:r>
        <w:rPr>
          <w:color w:val="5B6472"/>
        </w:rPr>
        <w:t xml:space="preserve">One line per record type. Write the tax year and the date you may discard it in the margin, and keep the filed return on top of each year’s folder.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Keep for good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Filed federal returns: Form 1040 with every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copy as filed, plus the e-file acceptance or mailing proof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returns as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year folder as the federal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for any year with no return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 limitation period runs, so nothing in that year expires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for any year a fraudulent return was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 limitation period runs for that year either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period for each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state may keep a return open longer: note its period next to the federal one</w:t>
            </w:r>
          </w:p>
        </w:tc>
      </w:tr>
    </w:tbl>
    <w:p>
      <w:pPr>
        <w:pStyle w:val="Heading1"/>
      </w:pPr>
      <w:r>
        <w:t xml:space="preserve">Three years from the filing date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Wage and income forms: W-2, 1099-NEC, 1099-MISC, 1099-K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Count from the April due date if you filed early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Interest and dividend forms: 1099-INT, 1099-DIV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with the return they were reported 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Retirement and benefit forms: 1099-R, SSA-1099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Longer if the 1099-R shows a rollover that sets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Deduction proof: Form 1098, Form 1098-T, donation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receipts and canceled checks behind each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and bank or card statements for deductible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the ones that support a line on the return</w:t>
            </w:r>
          </w:p>
        </w:tc>
      </w:tr>
    </w:tbl>
    <w:p>
      <w:pPr>
        <w:pStyle w:val="Heading1"/>
      </w:pPr>
      <w:r>
        <w:t xml:space="preserve">Longer periods for special years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for a refund claim filed after the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3 years from filing or 2 years from payment, the later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for a year with income left off the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6 years when the omission is over 25% of gross income shown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a worthless security or a bad debt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7 years from filing the return that claimed the loss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Household or business payroll file, if you are an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Minimum 4 years from the later of due date or payment</w:t>
            </w:r>
          </w:p>
        </w:tc>
      </w:tr>
    </w:tbl>
    <w:p>
      <w:pPr>
        <w:pStyle w:val="Heading1"/>
      </w:pPr>
      <w:r>
        <w:t xml:space="preserve">Until the asset is sold, then the sale year’s period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closing disclosure or settlement statement and deed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Sets the basis used to figure gain when you sell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home improvements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Roof, additions, systems: anything added to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Brokerage trade confirmations and Form 1099-B basis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every lot you still 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4562 depreciation schedules for rental or business assets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Until the return for the year of sale is out of its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8824 papers for property received in a like-kind exchange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Old and new property, until the new one is sold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Inherited property: date-of-death value or appraisal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basis you use when you sell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Gifted property: the donor’s purchase papers and basis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Donor’s adjusted basis, value on the gift date, any gift tax paid</w:t>
            </w:r>
          </w:p>
        </w:tc>
      </w:tr>
    </w:tbl>
    <w:p>
      <w:pPr>
        <w:pStyle w:val="Heading1"/>
      </w:pPr>
      <w:r>
        <w:t xml:space="preserve">Until the carryover or basis is used 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8606 and the Forms 5498 behind 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Until every IRA distribution is made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Capital loss, charitable or net operating loss carryover worksheets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Until the last year that uses them is closed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returns that created the carryover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preparer needs the original figures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Tax records retention schedule  |  dokutrak.com/checklists/tax-documents/how-long-to-keep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records retention schedule</dc:title>
  <dc:creator>DokuTrak</dc:creator>
  <dc:description>How long to keep each tax document: returns, W-2s and 1099s, receipts, home and stock basis records, IRA Form 8606 and payroll, with the IRS rule behind each.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